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D9" w:rsidRDefault="000A67D9"/>
    <w:p w:rsidR="005E2E45" w:rsidRPr="004836C1" w:rsidRDefault="005E2E45" w:rsidP="005E2E45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</w:t>
      </w:r>
      <w:r w:rsidRPr="004836C1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TI - II /          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Pr="00882EB6">
        <w:rPr>
          <w:b/>
          <w:u w:val="single"/>
        </w:rPr>
        <w:t>Załącznik Nr 2</w:t>
      </w:r>
    </w:p>
    <w:p w:rsidR="005E2E45" w:rsidRPr="004A3E23" w:rsidRDefault="005E2E45" w:rsidP="005E2E45">
      <w:pPr>
        <w:pStyle w:val="Tekstpodstawowy"/>
        <w:rPr>
          <w:b/>
          <w:bCs/>
          <w:sz w:val="20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0"/>
        </w:rPr>
        <w:t>do Ogłoszenia /</w:t>
      </w:r>
      <w:r w:rsidRPr="004A3E23">
        <w:rPr>
          <w:b/>
          <w:bCs/>
          <w:sz w:val="20"/>
        </w:rPr>
        <w:t xml:space="preserve"> SIWZ</w:t>
      </w:r>
    </w:p>
    <w:p w:rsidR="005E2E45" w:rsidRDefault="005E2E45" w:rsidP="005E2E45">
      <w:pPr>
        <w:jc w:val="both"/>
        <w:rPr>
          <w:b/>
          <w:sz w:val="24"/>
          <w:szCs w:val="24"/>
        </w:rPr>
      </w:pPr>
    </w:p>
    <w:p w:rsidR="005E2E45" w:rsidRPr="004836C1" w:rsidRDefault="005E2E45" w:rsidP="005E2E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 w:rsidRPr="003A1CE4">
        <w:rPr>
          <w:b/>
          <w:sz w:val="24"/>
          <w:szCs w:val="24"/>
        </w:rPr>
        <w:t>nieogranic</w:t>
      </w:r>
      <w:r w:rsidRPr="00A878C1">
        <w:rPr>
          <w:b/>
          <w:sz w:val="24"/>
          <w:szCs w:val="24"/>
        </w:rPr>
        <w:t>zonego</w:t>
      </w:r>
      <w:r w:rsidRPr="004836C1">
        <w:rPr>
          <w:b/>
          <w:sz w:val="24"/>
          <w:szCs w:val="24"/>
        </w:rPr>
        <w:t xml:space="preserve"> na </w:t>
      </w:r>
    </w:p>
    <w:p w:rsidR="005E2E45" w:rsidRPr="003A1CE4" w:rsidRDefault="005E2E45" w:rsidP="003A1CE4">
      <w:pPr>
        <w:pStyle w:val="Standard"/>
        <w:jc w:val="center"/>
        <w:rPr>
          <w:rFonts w:ascii="Times New Roman" w:hAnsi="Times New Roman"/>
          <w:b/>
        </w:rPr>
      </w:pPr>
    </w:p>
    <w:p w:rsidR="003A1CE4" w:rsidRPr="003A1CE4" w:rsidRDefault="003A1CE4" w:rsidP="003A1CE4">
      <w:pPr>
        <w:jc w:val="center"/>
        <w:rPr>
          <w:sz w:val="24"/>
          <w:szCs w:val="24"/>
        </w:rPr>
      </w:pPr>
      <w:r w:rsidRPr="003A1CE4">
        <w:rPr>
          <w:b/>
          <w:i/>
          <w:sz w:val="24"/>
          <w:szCs w:val="24"/>
        </w:rPr>
        <w:t xml:space="preserve">wykonanie wielobranżowej dokumentacji projektowej remontu pulsatorów nr 1 i 2  </w:t>
      </w:r>
      <w:r w:rsidR="005771DC">
        <w:rPr>
          <w:b/>
          <w:i/>
          <w:sz w:val="24"/>
          <w:szCs w:val="24"/>
        </w:rPr>
        <w:t xml:space="preserve">oraz </w:t>
      </w:r>
      <w:bookmarkStart w:id="0" w:name="_GoBack"/>
      <w:bookmarkEnd w:id="0"/>
      <w:r w:rsidRPr="003A1CE4">
        <w:rPr>
          <w:b/>
          <w:i/>
          <w:sz w:val="24"/>
          <w:szCs w:val="24"/>
        </w:rPr>
        <w:t>dokumentacji projektowej  sterowania blokiem chemicznym w Budynku Głównym na terenie Działu Produkcji Wody Pietrasze - Wasilków na Pietraszach</w:t>
      </w:r>
    </w:p>
    <w:p w:rsidR="003A1CE4" w:rsidRDefault="003A1CE4" w:rsidP="005E2E45">
      <w:pPr>
        <w:jc w:val="center"/>
        <w:rPr>
          <w:b/>
          <w:i/>
          <w:color w:val="FF0000"/>
          <w:sz w:val="24"/>
          <w:szCs w:val="24"/>
        </w:rPr>
      </w:pPr>
    </w:p>
    <w:p w:rsidR="005E2E45" w:rsidRPr="00836ECF" w:rsidRDefault="005E2E45" w:rsidP="005E2E45">
      <w:pPr>
        <w:jc w:val="center"/>
        <w:rPr>
          <w:b/>
          <w:sz w:val="24"/>
          <w:szCs w:val="24"/>
        </w:rPr>
      </w:pPr>
    </w:p>
    <w:p w:rsidR="005E2E45" w:rsidRPr="004F5F7D" w:rsidRDefault="005E2E45" w:rsidP="005E2E4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5E2E45" w:rsidRDefault="005E2E45" w:rsidP="005E2E45">
      <w:pPr>
        <w:jc w:val="both"/>
        <w:rPr>
          <w:b/>
          <w:sz w:val="24"/>
          <w:szCs w:val="24"/>
        </w:rPr>
      </w:pPr>
    </w:p>
    <w:p w:rsidR="005E2E45" w:rsidRPr="004F5F7D" w:rsidRDefault="005E2E45" w:rsidP="005E2E4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5E2E45" w:rsidRPr="004F5F7D" w:rsidRDefault="005E2E45" w:rsidP="005E2E4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5E2E45" w:rsidRPr="004F5F7D" w:rsidRDefault="005E2E45" w:rsidP="005E2E4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5E2E45" w:rsidTr="00F26CA0">
        <w:tc>
          <w:tcPr>
            <w:tcW w:w="4605" w:type="dxa"/>
          </w:tcPr>
          <w:p w:rsidR="005E2E45" w:rsidRPr="002D32B7" w:rsidRDefault="005E2E45" w:rsidP="00F26CA0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5E2E45" w:rsidRPr="002D32B7" w:rsidRDefault="005E2E45" w:rsidP="00F26CA0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5E2E45" w:rsidTr="00F26CA0">
        <w:tc>
          <w:tcPr>
            <w:tcW w:w="4605" w:type="dxa"/>
          </w:tcPr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5E2E45" w:rsidRDefault="005E2E45" w:rsidP="00F26CA0">
            <w:pPr>
              <w:pStyle w:val="Tekstpodstawowy"/>
              <w:rPr>
                <w:szCs w:val="24"/>
              </w:rPr>
            </w:pPr>
          </w:p>
        </w:tc>
      </w:tr>
    </w:tbl>
    <w:p w:rsidR="005E2E45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5E2E45" w:rsidRPr="004F5F7D" w:rsidRDefault="005E2E45" w:rsidP="005E2E45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5E2E45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5E2E45" w:rsidRPr="004F5F7D" w:rsidRDefault="005E2E45" w:rsidP="005E2E45">
      <w:pPr>
        <w:pStyle w:val="Bezodstpw"/>
        <w:jc w:val="both"/>
        <w:rPr>
          <w:bCs/>
          <w:color w:val="FF0000"/>
          <w:sz w:val="24"/>
          <w:szCs w:val="24"/>
        </w:rPr>
      </w:pPr>
    </w:p>
    <w:p w:rsidR="005E2E45" w:rsidRPr="004F5F7D" w:rsidRDefault="005E2E45" w:rsidP="005E2E45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5E2E45" w:rsidRPr="004F5F7D" w:rsidRDefault="005E2E45" w:rsidP="005E2E45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5E2E45" w:rsidRPr="004F5F7D" w:rsidRDefault="005E2E45" w:rsidP="005E2E45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5E2E45" w:rsidRPr="004F5F7D" w:rsidRDefault="005E2E45" w:rsidP="005E2E45">
      <w:pPr>
        <w:pStyle w:val="Tekstpodstawowy"/>
        <w:ind w:left="360"/>
        <w:rPr>
          <w:szCs w:val="24"/>
        </w:rPr>
      </w:pPr>
    </w:p>
    <w:p w:rsidR="005E2E45" w:rsidRPr="004F5F7D" w:rsidRDefault="005E2E45" w:rsidP="005E2E45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5E2E45" w:rsidRPr="004F5F7D" w:rsidRDefault="005E2E45" w:rsidP="005E2E45">
      <w:pPr>
        <w:ind w:hanging="274"/>
        <w:jc w:val="center"/>
        <w:rPr>
          <w:b/>
          <w:bCs/>
          <w:sz w:val="24"/>
          <w:szCs w:val="24"/>
        </w:rPr>
      </w:pPr>
    </w:p>
    <w:p w:rsidR="005E2E45" w:rsidRPr="004F5F7D" w:rsidRDefault="005E2E45" w:rsidP="005E2E45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5E2E45" w:rsidRPr="004F5F7D" w:rsidRDefault="005E2E45" w:rsidP="005E2E45">
      <w:pPr>
        <w:jc w:val="both"/>
        <w:rPr>
          <w:b/>
          <w:sz w:val="24"/>
          <w:szCs w:val="24"/>
        </w:rPr>
      </w:pP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</w:t>
      </w:r>
      <w:r w:rsidRPr="004F5F7D">
        <w:rPr>
          <w:i/>
          <w:sz w:val="24"/>
          <w:szCs w:val="24"/>
        </w:rPr>
        <w:lastRenderedPageBreak/>
        <w:t xml:space="preserve">likwidację jego majątku lub sąd zarządził likwidację jego majątku w trybie art. 332 ust. 1 ustawy z dnia 15 maja 2015 r. - Prawo restrukturyzacyjne (Dz. U. poz. 978,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>. zm.);</w:t>
      </w:r>
    </w:p>
    <w:p w:rsidR="005E2E45" w:rsidRPr="002D32B7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5E2E45" w:rsidRPr="00082263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5E2E45" w:rsidRPr="00082263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5E2E45" w:rsidRPr="00082263" w:rsidRDefault="005E2E45" w:rsidP="005E2E45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</w:t>
      </w:r>
      <w:proofErr w:type="spellStart"/>
      <w:r w:rsidRPr="00082263">
        <w:rPr>
          <w:i/>
          <w:sz w:val="24"/>
          <w:szCs w:val="24"/>
        </w:rPr>
        <w:t>późn</w:t>
      </w:r>
      <w:proofErr w:type="spellEnd"/>
      <w:r w:rsidRPr="00082263">
        <w:rPr>
          <w:i/>
          <w:sz w:val="24"/>
          <w:szCs w:val="24"/>
        </w:rPr>
        <w:t xml:space="preserve">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5E2E45" w:rsidRPr="00082263" w:rsidRDefault="005E2E45" w:rsidP="005E2E45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5E2E45" w:rsidRPr="00082263" w:rsidRDefault="005E2E45" w:rsidP="005E2E45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5E2E45" w:rsidRPr="00082263" w:rsidRDefault="005E2E45" w:rsidP="005E2E45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5E2E45" w:rsidRPr="00082263" w:rsidRDefault="005E2E45" w:rsidP="005E2E45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5E2E45" w:rsidRPr="002D32B7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5E2E45" w:rsidRPr="00E325AF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</w:t>
      </w:r>
      <w:r>
        <w:rPr>
          <w:i/>
          <w:sz w:val="24"/>
          <w:szCs w:val="24"/>
          <w:shd w:val="clear" w:color="auto" w:fill="FFFFFF"/>
        </w:rPr>
        <w:t xml:space="preserve"> </w:t>
      </w:r>
      <w:r w:rsidRPr="004F5F7D">
        <w:rPr>
          <w:i/>
          <w:sz w:val="24"/>
          <w:szCs w:val="24"/>
          <w:shd w:val="clear" w:color="auto" w:fill="FFFFFF"/>
        </w:rPr>
        <w:t>;</w:t>
      </w:r>
    </w:p>
    <w:p w:rsidR="005E2E45" w:rsidRPr="00E325AF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E325AF">
        <w:rPr>
          <w:i/>
          <w:sz w:val="24"/>
          <w:szCs w:val="24"/>
        </w:rPr>
        <w:t>w</w:t>
      </w:r>
      <w:r w:rsidRPr="00E325AF">
        <w:rPr>
          <w:i/>
          <w:sz w:val="24"/>
          <w:szCs w:val="24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</w:t>
      </w:r>
      <w:r w:rsidRPr="00E325AF">
        <w:rPr>
          <w:i/>
          <w:sz w:val="24"/>
          <w:szCs w:val="24"/>
          <w:shd w:val="clear" w:color="auto" w:fill="FFFFFF"/>
        </w:rPr>
        <w:lastRenderedPageBreak/>
        <w:t>takiego postępowania, chyba że spowodowane tym zakłócenie konkurencji może być wyeliminowane w inny sposób niż przez wykluczenie wykonawcy z udziału w postępowaniu;</w:t>
      </w: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5E2E45" w:rsidRPr="00082263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5E2E45" w:rsidRPr="004F5F7D" w:rsidRDefault="005E2E45" w:rsidP="005E2E45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5E2E45" w:rsidRPr="004F5F7D" w:rsidRDefault="005E2E45" w:rsidP="005E2E45">
      <w:pPr>
        <w:jc w:val="both"/>
        <w:rPr>
          <w:i/>
          <w:sz w:val="24"/>
          <w:szCs w:val="24"/>
        </w:rPr>
      </w:pPr>
    </w:p>
    <w:p w:rsidR="005E2E45" w:rsidRPr="004F5F7D" w:rsidRDefault="005E2E45" w:rsidP="005E2E45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E2E45" w:rsidRPr="004F5F7D" w:rsidRDefault="005E2E45" w:rsidP="005E2E45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5E2E45" w:rsidRPr="004F5F7D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</w:p>
    <w:p w:rsidR="005E2E45" w:rsidRPr="004F5F7D" w:rsidRDefault="005E2E45" w:rsidP="005E2E45">
      <w:pPr>
        <w:rPr>
          <w:sz w:val="24"/>
          <w:szCs w:val="24"/>
        </w:rPr>
      </w:pPr>
    </w:p>
    <w:p w:rsidR="005E2E45" w:rsidRDefault="005E2E45" w:rsidP="005E2E45"/>
    <w:p w:rsidR="005E2E45" w:rsidRDefault="005E2E45" w:rsidP="005E2E45"/>
    <w:p w:rsidR="005E2E45" w:rsidRDefault="005E2E45" w:rsidP="005E2E45">
      <w:r>
        <w:t xml:space="preserve">                                                                                             ……………………………………………………..</w:t>
      </w:r>
    </w:p>
    <w:p w:rsidR="005E2E45" w:rsidRPr="00CD792C" w:rsidRDefault="005E2E45" w:rsidP="005E2E45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p</w:t>
      </w:r>
      <w:r w:rsidRPr="00CD792C">
        <w:rPr>
          <w:i/>
        </w:rPr>
        <w:t>odpis i pieczęć Wykonawcy</w:t>
      </w:r>
    </w:p>
    <w:p w:rsidR="005E2E45" w:rsidRDefault="005E2E45" w:rsidP="005E2E45"/>
    <w:p w:rsidR="005E2E45" w:rsidRDefault="005E2E45" w:rsidP="005E2E45"/>
    <w:p w:rsidR="005E2E45" w:rsidRDefault="005E2E45" w:rsidP="005E2E45"/>
    <w:p w:rsidR="005E2E45" w:rsidRDefault="005E2E45" w:rsidP="005E2E45"/>
    <w:p w:rsidR="005E2E45" w:rsidRDefault="005E2E45" w:rsidP="005E2E45"/>
    <w:p w:rsidR="005E2E45" w:rsidRDefault="005E2E45" w:rsidP="005E2E45"/>
    <w:p w:rsidR="005E2E45" w:rsidRDefault="005E2E45" w:rsidP="005E2E45"/>
    <w:p w:rsidR="005E2E45" w:rsidRDefault="005E2E45" w:rsidP="005E2E45"/>
    <w:p w:rsidR="005E2E45" w:rsidRDefault="005E2E45"/>
    <w:sectPr w:rsidR="005E2E4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FC7" w:rsidRDefault="00496FC7" w:rsidP="005E2E45">
      <w:r>
        <w:separator/>
      </w:r>
    </w:p>
  </w:endnote>
  <w:endnote w:type="continuationSeparator" w:id="0">
    <w:p w:rsidR="00496FC7" w:rsidRDefault="00496FC7" w:rsidP="005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235609"/>
      <w:docPartObj>
        <w:docPartGallery w:val="Page Numbers (Bottom of Page)"/>
        <w:docPartUnique/>
      </w:docPartObj>
    </w:sdtPr>
    <w:sdtEndPr/>
    <w:sdtContent>
      <w:p w:rsidR="005E2E45" w:rsidRDefault="005E2E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2E45" w:rsidRDefault="005E2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FC7" w:rsidRDefault="00496FC7" w:rsidP="005E2E45">
      <w:r>
        <w:separator/>
      </w:r>
    </w:p>
  </w:footnote>
  <w:footnote w:type="continuationSeparator" w:id="0">
    <w:p w:rsidR="00496FC7" w:rsidRDefault="00496FC7" w:rsidP="005E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5"/>
    <w:rsid w:val="000A67D9"/>
    <w:rsid w:val="00281659"/>
    <w:rsid w:val="003A1CE4"/>
    <w:rsid w:val="00496FC7"/>
    <w:rsid w:val="005771DC"/>
    <w:rsid w:val="005E2E45"/>
    <w:rsid w:val="00C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8BDA"/>
  <w15:chartTrackingRefBased/>
  <w15:docId w15:val="{18AF780A-623F-4E29-BFDF-678C251B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2E45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E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5E2E4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2E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5E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E2E4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5E2E45"/>
    <w:rPr>
      <w:color w:val="0000FF"/>
      <w:u w:val="single"/>
    </w:rPr>
  </w:style>
  <w:style w:type="character" w:customStyle="1" w:styleId="alb">
    <w:name w:val="a_lb"/>
    <w:basedOn w:val="Domylnaczcionkaakapitu"/>
    <w:rsid w:val="005E2E45"/>
  </w:style>
  <w:style w:type="table" w:styleId="Tabela-Siatka">
    <w:name w:val="Table Grid"/>
    <w:basedOn w:val="Standardowy"/>
    <w:rsid w:val="005E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E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2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E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3</cp:revision>
  <dcterms:created xsi:type="dcterms:W3CDTF">2020-07-08T09:01:00Z</dcterms:created>
  <dcterms:modified xsi:type="dcterms:W3CDTF">2020-07-13T09:01:00Z</dcterms:modified>
</cp:coreProperties>
</file>